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theme/theme1.xml" ContentType="application/vnd.openxmlformats-officedocument.theme+xml"/>
  <Default Extension="jpg" ContentType="image/jpg"/>
  <Default Extension="jpeg" ContentType="image/jpeg"/>
  <Default Extension="jp2" ContentType="image/jp2"/>
  <Default Extension="png" ContentType="image/png"/>
</Types>
</file>

<file path=_rels/.rels><?xml version="1.0" encoding="UTF-8" standalone="yes" ?>
<Relationships xmlns="http://schemas.openxmlformats.org/package/2006/relationships">
	<Relationship Id="rId1" Type="http://schemas.openxmlformats.org/officeDocument/2006/relationships/extended-properties" Target="docProps/app.xml"/>
	<Relationship Id="rId2" Type="http://schemas.openxmlformats.org/officeDocument/2006/relationships/metadata/core-properties" Target="docProps/core.xml"/>
	<Relationship Id="rId3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v="urn:schemas-microsoft-com:vml" xmlns:r="http://schemas.openxmlformats.org/officeDocument/2006/relationships" xmlns:o="urn:schemas-microsoft-com:office:office" xmlns:wp="http://schemas.openxmlformats.org/drawingml/2006/wordprocessingDrawing" xmlns:w10="urn:schemas-microsoft-com:office:word" xmlns:ve="http://schemas.openxmlformats.org/markup-compatibility/2006" xmlns:m="http://schemas.openxmlformats.org/officeDocument/2006/math" xmlns:wne="http://schemas.microsoft.com/office/word/2006/wordml" xml:space="preserve">
  <w:body>
    <w:bookmarkStart w:id="1" w:name="1"/>
    <w:bookmarkEnd w:id="1"/>
    <w:p>
      <w:pPr>
        <w:spacing w:before="0" w:after="0" w:line="176" w:lineRule="exact"/>
        <w:ind w:firstLine="0" w:left="0"/>
        <w:jc w:val="center"/>
        <w:rPr>
          <w:rFonts w:ascii="Microsoft YaHei" w:hAnsi="Microsoft YaHei" w:cs="Microsoft YaHei" w:eastAsia="Microsoft YaHei"/>
          <w:sz w:val="16"/>
          <w:szCs w:val="16"/>
          <w:color w:val="000000"/>
          <w:b/>
          <w:bCs/>
          <w:spacing w:val="79"/>
          <w:noProof/>
        </w:rPr>
      </w:pPr>
    </w:p>
    <w:p>
      <w:pPr>
        <w:spacing w:before="0" w:after="0" w:line="319" w:lineRule="exact"/>
        <w:ind w:firstLine="0" w:left="-2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79"/>
          <w:noProof/>
        </w:rPr>
      </w:pPr>
      <w:r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10"/>
          <w:noProof/>
        </w:rPr>
        <w:t>建设项目管理制度</w:t>
      </w:r>
    </w:p>
    <w:p>
      <w:pPr>
        <w:spacing w:before="0" w:after="0" w:line="32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79"/>
          <w:noProof/>
        </w:rPr>
      </w:pPr>
    </w:p>
    <w:p>
      <w:pPr>
        <w:spacing w:before="0" w:after="0" w:line="320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79"/>
          <w:noProof/>
        </w:rPr>
      </w:pPr>
    </w:p>
    <w:p>
      <w:pPr>
        <w:spacing w:before="0" w:after="0" w:line="348" w:lineRule="exact"/>
        <w:ind w:firstLine="0" w:left="0"/>
        <w:jc w:val="center"/>
        <w:rPr>
          <w:rFonts w:ascii="Microsoft YaHei" w:hAnsi="Microsoft YaHei" w:cs="Microsoft YaHei" w:eastAsia="Microsoft YaHei"/>
          <w:sz w:val="31"/>
          <w:szCs w:val="31"/>
          <w:color w:val="000000"/>
          <w:b/>
          <w:bCs/>
          <w:spacing w:val="79"/>
          <w:noProof/>
        </w:rPr>
      </w:pPr>
    </w:p>
    <w:p>
      <w:pPr>
        <w:tabs>
          <w:tab w:val="left" w:pos="4793"/>
        </w:tabs>
        <w:spacing w:before="0" w:after="437" w:line="281" w:lineRule="exact"/>
        <w:ind w:firstLine="0" w:left="367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总则</w:t>
      </w:r>
    </w:p>
    <w:p>
      <w:pPr>
        <w:tabs>
          <w:tab w:val="left" w:pos="2042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为加强和规范单位建设项目，保证建设项目顺利实施，</w:t>
      </w:r>
    </w:p>
    <w:p>
      <w:pPr>
        <w:spacing w:before="0" w:after="278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37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根据《中华人民共和国招标投标法》《中华人民共和国建筑法》《行政</w:t>
      </w:r>
    </w:p>
    <w:p>
      <w:pPr>
        <w:spacing w:before="0" w:after="28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事业单位内部控制规范（试行）》（财会〔2012〕21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4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3"/>
          <w:noProof/>
        </w:rPr>
        <w:t>号）等相关法律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法规，结合单位实际，制定本制度。</w:t>
      </w:r>
    </w:p>
    <w:p>
      <w:pPr>
        <w:tabs>
          <w:tab w:val="left" w:pos="2076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5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7"/>
          <w:noProof/>
        </w:rPr>
        <w:t>本制度所称预算项目是指本单位中承接的在年度内实</w:t>
      </w:r>
    </w:p>
    <w:p>
      <w:pPr>
        <w:spacing w:before="0" w:after="28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施执行，且匹配预算指标的建设项目。</w:t>
      </w:r>
    </w:p>
    <w:p>
      <w:pPr>
        <w:tabs>
          <w:tab w:val="left" w:pos="2042"/>
        </w:tabs>
        <w:spacing w:before="0" w:after="434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本制度适用于单位预算项目全过程管理。</w:t>
      </w:r>
    </w:p>
    <w:p>
      <w:pPr>
        <w:tabs>
          <w:tab w:val="left" w:pos="3950"/>
        </w:tabs>
        <w:spacing w:before="0" w:after="434" w:line="281" w:lineRule="exact"/>
        <w:ind w:firstLine="0" w:left="2825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管理机构及其职责</w:t>
      </w:r>
    </w:p>
    <w:p>
      <w:pPr>
        <w:tabs>
          <w:tab w:val="left" w:pos="2042"/>
        </w:tabs>
        <w:spacing w:before="0" w:after="28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本单位预算项目管理实行“谁承办，谁归口管理，谁编</w:t>
      </w:r>
    </w:p>
    <w:p>
      <w:pPr>
        <w:spacing w:before="0" w:after="278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制预算，谁对项目绩效负责”的总体原则；分为项目管理决策机构、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项目承办机构、项目相关机构和项目管理监督机构。</w:t>
      </w:r>
    </w:p>
    <w:p>
      <w:pPr>
        <w:tabs>
          <w:tab w:val="left" w:pos="2042"/>
        </w:tabs>
        <w:spacing w:before="0" w:after="312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本单位建设项目管理的决策机构，其主要职责为：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t>（一）审议本单位重大项目的立项申报/申请；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23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9"/>
          <w:noProof/>
        </w:rPr>
        <w:t>（二）审议本单位重大项目执行过程中的项目工作量、项目设计、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项目执行中的预算、支出金额变更、签证事项；</w:t>
      </w:r>
    </w:p>
    <w:p>
      <w:pPr>
        <w:spacing w:before="0" w:after="319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（三）听取本单位重大项目的质量、实施进度、投资等事项的报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告汇报；</w:t>
      </w:r>
    </w:p>
    <w:p>
      <w:pPr>
        <w:spacing w:before="0" w:after="28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（四）审议项目验收、项目决算报告；</w:t>
      </w:r>
    </w:p>
    <w:p>
      <w:pPr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（五）审议项目承办机构申报的其他重要待决策事项。</w:t>
      </w:r>
    </w:p>
    <w:p>
      <w:pPr>
        <w:tabs>
          <w:tab w:val="left" w:pos="2042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本单位基本建设项目的归口管理部门主要职责为：</w:t>
      </w:r>
    </w:p>
    <w:p>
      <w:pPr>
        <w:spacing w:before="0" w:after="0" w:line="269" w:lineRule="exact"/>
        <w:ind w:firstLine="0" w:left="919"/>
        <w:jc w:val="left"/>
        <w:rPr>
          <w:rFonts w:ascii="Microsoft YaHei" w:hAnsi="Microsoft YaHei" w:cs="Microsoft YaHei" w:eastAsia="Microsoft YaHei"/>
          <w:sz w:val="26"/>
          <w:szCs w:val="26"/>
          <w:color w:val="000000"/>
          <w:b/>
          <w:bCs/>
          <w:spacing w:val="1"/>
          <w:noProof/>
        </w:r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1</w:t>
      </w:r>
    </w:p>
    <w:p>
      <w:pPr>
        <w:spacing w:before="0" w:after="130" w:line="180" w:lineRule="exact"/>
        <w:ind w:firstLine="0" w:left="4469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8" w:left="1440" w:header="708" w:footer="708" w:gutter="0"/>
          <w:docGrid w:type="" w:linePitch="0"/>
        </w:sectPr>
      </w:pPr>
    </w:p>
    <w:bookmarkStart w:id="2" w:name="2"/>
    <w:bookmarkEnd w:id="2"/>
    <w:p>
      <w:pPr>
        <w:spacing w:before="0" w:after="0" w:line="240" w:lineRule="exact"/>
        <w:ind w:firstLine="0" w:left="0"/>
        <w:jc w:val="center"/>
        <w:rPr>
          <w:rFonts w:ascii="Microsoft YaHei" w:hAnsi="Microsoft YaHei" w:cs="Microsoft YaHei" w:eastAsia="Microsoft YaHei"/>
          <w:sz w:val="22"/>
          <w:szCs w:val="22"/>
          <w:color w:val="000000"/>
          <w:spacing w:val="1"/>
          <w:noProof/>
        </w:rPr>
      </w:pPr>
    </w:p>
    <w:p>
      <w:pPr>
        <w:spacing w:before="0" w:after="319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（一）提出项目立项需求和参与项目立项的前期筹备工作；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（二）根据本单位的预算管理制度规定，按照项目需求合理编制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预算，按照约定时间上交至财务部门进行统一汇总。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（三）配合验收与相关结算申请等工作。</w:t>
      </w:r>
    </w:p>
    <w:p>
      <w:pPr>
        <w:tabs>
          <w:tab w:val="left" w:pos="2042"/>
        </w:tabs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本单位基本建设项目的项目执行部门主要职责为：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（一）根据本单位的政府采购管理制度规定，按照项目需求合理</w:t>
      </w:r>
    </w:p>
    <w:p>
      <w:pPr>
        <w:spacing w:before="0" w:after="319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编制采购申请，报至采购归口管理部门进行集中采购的对外申报；若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承办的预算项目经审核采用的是分散采购方式进行采购，则由项目承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办部门进行采购实施管理，包含编制采购文件技术部分，供应商资质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审核，采购合同签批，采购验收等环节。项目承办部门进行该项目的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采购实施过程中，有关采购业务管理规定由采购归口管理部门全程指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导和提供咨询服务。</w:t>
      </w:r>
    </w:p>
    <w:p>
      <w:pPr>
        <w:spacing w:before="0" w:after="319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（二）依据项目执行计划，按时按质完成项目实施，并按照执行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进度将阶段性完成成果，及时备案。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（三）配合验收与相关结算申请等工作。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（四）与项目相关的其他事项。</w:t>
      </w:r>
    </w:p>
    <w:p>
      <w:pPr>
        <w:tabs>
          <w:tab w:val="left" w:pos="2078"/>
        </w:tabs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4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>第八条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预算项目监督机构是负责本单位所有项目管理工作的</w:t>
      </w:r>
    </w:p>
    <w:p>
      <w:pPr>
        <w:spacing w:before="0" w:after="319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业务及执行监督，可依据实际情况委托第三方专业机构及相关专家资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源。其主要职责为：</w:t>
      </w:r>
    </w:p>
    <w:p>
      <w:pPr>
        <w:spacing w:before="0" w:after="319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（一）监督预算项目的立项、审批、招投标、采购等活动依法进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行；</w:t>
      </w:r>
    </w:p>
    <w:p>
      <w:pPr>
        <w:spacing w:before="0" w:after="319" w:line="281" w:lineRule="exact"/>
        <w:ind w:firstLine="0" w:left="0" w:right="2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（二）监督审查项目承办部门的工作人员依法履行职责的情况；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（三）督促检查项目业务反腐倡廉各项工作的落实。</w:t>
      </w:r>
    </w:p>
    <w:p>
      <w:pPr>
        <w:spacing w:before="0" w:after="0" w:line="181" w:lineRule="exact"/>
        <w:ind w:firstLine="0" w:left="919"/>
        <w:jc w:val="left"/>
        <w:rPr>
          <w:rFonts w:ascii="Microsoft YaHei" w:hAnsi="Microsoft YaHei" w:cs="Microsoft YaHei" w:eastAsia="Microsoft YaHei"/>
          <w:sz w:val="18"/>
          <w:szCs w:val="18"/>
          <w:color w:val="000000"/>
          <w:spacing w:val="1"/>
          <w:noProof/>
        </w:rPr>
      </w:pP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sectPr>
          <w:pgSz w:w="11906" w:h="16838"/>
          <w:pgMar w:top="1440" w:right="1440" w:bottom="868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2</w:t>
      </w:r>
    </w:p>
    <w:p>
      <w:pPr>
        <w:spacing w:before="0" w:after="130" w:line="180" w:lineRule="exact"/>
        <w:ind w:firstLine="0" w:left="4469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8" w:left="1440" w:header="708" w:footer="708" w:gutter="0"/>
          <w:docGrid w:type="" w:linePitch="0"/>
        </w:sectPr>
      </w:pPr>
    </w:p>
    <w:bookmarkStart w:id="3" w:name="3"/>
    <w:bookmarkEnd w:id="3"/>
    <w:p>
      <w:pPr>
        <w:spacing w:before="0" w:after="0" w:line="208" w:lineRule="exact"/>
        <w:ind w:firstLine="0" w:left="0"/>
        <w:jc w:val="center"/>
        <w:rPr>
          <w:rFonts w:ascii="Microsoft YaHei" w:hAnsi="Microsoft YaHei" w:cs="Microsoft YaHei" w:eastAsia="Microsoft YaHei"/>
          <w:sz w:val="20"/>
          <w:szCs w:val="20"/>
          <w:color w:val="000000"/>
          <w:b/>
          <w:bCs/>
          <w:spacing w:val="2"/>
          <w:noProof/>
        </w:rPr>
      </w:pPr>
    </w:p>
    <w:p>
      <w:pPr>
        <w:tabs>
          <w:tab w:val="left" w:pos="4512"/>
        </w:tabs>
        <w:spacing w:before="0" w:after="434" w:line="281" w:lineRule="exact"/>
        <w:ind w:firstLine="0" w:left="338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第三章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项目立项</w:t>
      </w:r>
    </w:p>
    <w:p>
      <w:pPr>
        <w:tabs>
          <w:tab w:val="left" w:pos="2042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7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各业务部门根据单位年度工作部署，合理提出项目立项</w:t>
      </w:r>
    </w:p>
    <w:p>
      <w:pPr>
        <w:spacing w:before="0" w:after="28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申请，必要时还需要编报建设项目项目建议书、可行性研究报告、初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步设计方案以及基本概算。经内部审核审批后，进行项目实施。</w:t>
      </w:r>
    </w:p>
    <w:p>
      <w:pPr>
        <w:tabs>
          <w:tab w:val="left" w:pos="2042"/>
        </w:tabs>
        <w:spacing w:before="0" w:after="312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本单位项目立项应当遵循以下程序：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（一）项目承办部门根据单位年度工作安排，发起立项申请，编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制立项申请书，由部门负责人对立项申请进行初步审核确认。</w:t>
      </w:r>
    </w:p>
    <w:p>
      <w:pPr>
        <w:spacing w:before="0" w:after="319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（二）项目承办部门负责人、分管领导对立项申请初步审核确认</w:t>
      </w:r>
    </w:p>
    <w:p>
      <w:pPr>
        <w:spacing w:before="0" w:after="319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后，按照审批权限提交单位主要领导进行审批决策；若申请的项目按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照单位惯例属于年度重大项目、单位重点关注项目应当提请项目决策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机构审议决定；项目涉及三重一大事项，还应当提请本单位三重一大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决策机构审议决定；</w:t>
      </w:r>
    </w:p>
    <w:p>
      <w:pPr>
        <w:spacing w:before="0" w:after="319" w:line="281" w:lineRule="exact"/>
        <w:ind w:firstLine="0" w:left="0" w:right="2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（三）立项审议通过后，项目承办部门合理编制项目支出预算，</w:t>
      </w:r>
    </w:p>
    <w:p>
      <w:pPr>
        <w:spacing w:before="0" w:after="319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同时编制项目绩效目标，提交预算归口部门统一汇总后，对外申报预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算和预算绩效。</w:t>
      </w:r>
    </w:p>
    <w:p>
      <w:pPr>
        <w:spacing w:before="0" w:after="319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（四）若提交的项目立项申请，属于使用财政性资金，以及用财</w:t>
      </w:r>
    </w:p>
    <w:p>
      <w:pPr>
        <w:spacing w:before="0" w:after="319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18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政性资金作为还款来源或还款担保的借贷性资金投资建设的基础性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和公益性项目，除需经项目决策机构审议之外，项目承办部门严格按</w:t>
      </w:r>
    </w:p>
    <w:p>
      <w:pPr>
        <w:spacing w:before="0" w:after="31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照政府投资建设项目有关规定进行申报。申报通过后纳入预算管理，</w:t>
      </w:r>
    </w:p>
    <w:p>
      <w:pPr>
        <w:spacing w:before="0" w:after="285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编制基本建设项目预算，批复后组织实施。</w:t>
      </w:r>
    </w:p>
    <w:p>
      <w:pPr>
        <w:tabs>
          <w:tab w:val="left" w:pos="2326"/>
        </w:tabs>
        <w:spacing w:before="0" w:after="28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项目承办部门提交立项材料时，主要包括申请表、项</w:t>
      </w:r>
    </w:p>
    <w:p>
      <w:pPr>
        <w:spacing w:before="0" w:after="278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目建议书、可行性研究报告、初步设计方案和概算方案、资金申请等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相关材料。</w:t>
      </w:r>
    </w:p>
    <w:p>
      <w:pPr>
        <w:spacing w:before="0" w:after="0" w:line="377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</w:pP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  <w:sectPr>
          <w:pgSz w:w="11906" w:h="16838"/>
          <w:pgMar w:top="1440" w:right="1440" w:bottom="868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3</w:t>
      </w:r>
    </w:p>
    <w:p>
      <w:pPr>
        <w:spacing w:before="0" w:after="130" w:line="180" w:lineRule="exact"/>
        <w:ind w:firstLine="0" w:left="4469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8" w:left="1440" w:header="708" w:footer="708" w:gutter="0"/>
          <w:docGrid w:type="" w:linePitch="0"/>
        </w:sectPr>
      </w:pPr>
    </w:p>
    <w:bookmarkStart w:id="4" w:name="4"/>
    <w:bookmarkEnd w:id="4"/>
    <w:p>
      <w:pPr>
        <w:spacing w:before="0" w:after="0" w:line="208" w:lineRule="exact"/>
        <w:ind w:firstLine="0" w:left="0"/>
        <w:jc w:val="right"/>
        <w:rPr>
          <w:rFonts w:ascii="Microsoft YaHei" w:hAnsi="Microsoft YaHei" w:cs="Microsoft YaHei" w:eastAsia="Microsoft YaHei"/>
          <w:sz w:val="20"/>
          <w:szCs w:val="20"/>
          <w:color w:val="000000"/>
          <w:spacing w:val="-101"/>
          <w:noProof/>
        </w:rPr>
      </w:pPr>
    </w:p>
    <w:p>
      <w:pPr>
        <w:tabs>
          <w:tab w:val="left" w:pos="2326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项目建议书一般内容包括：建设项目申请理由及主要</w:t>
      </w:r>
    </w:p>
    <w:p>
      <w:pPr>
        <w:spacing w:before="0" w:after="278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3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内容，建设项目总体目标及分阶段实施计划，建设项目组织实施条件，</w:t>
      </w:r>
    </w:p>
    <w:p>
      <w:pPr>
        <w:spacing w:before="0" w:after="28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采购方式，建设项目总投资及预算支出明细（预算明细要列明测算依</w:t>
      </w:r>
    </w:p>
    <w:p>
      <w:pPr>
        <w:spacing w:before="0" w:after="309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据），及其他需要说明的问题等。</w:t>
      </w:r>
    </w:p>
    <w:p>
      <w:pPr>
        <w:tabs>
          <w:tab w:val="left" w:pos="2330"/>
        </w:tabs>
        <w:spacing w:before="0" w:after="319" w:line="281" w:lineRule="exact"/>
        <w:ind w:firstLine="0" w:left="924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可行性研究报告主要包括：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（一）项目概况；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（二）项目建立的必要性；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（三）基建项目的选址及建设条件论证；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（四）项目规模和项目内容等规划设计方案；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（五）总投资估算及资金来源；项目周期及进度安排；</w:t>
      </w:r>
    </w:p>
    <w:p>
      <w:pPr>
        <w:spacing w:before="0" w:after="319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（六）基建项目的勘察、设计、施工、监理以及重要设备、材料</w:t>
      </w:r>
    </w:p>
    <w:p>
      <w:pPr>
        <w:spacing w:before="0" w:after="288" w:line="281" w:lineRule="exact"/>
        <w:ind w:firstLine="0" w:left="4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等采购活动的具体招标范围和拟采用的招标组织形式、招标方式等。</w:t>
      </w:r>
    </w:p>
    <w:p>
      <w:pPr>
        <w:spacing w:before="0" w:after="278" w:line="281" w:lineRule="exact"/>
        <w:ind w:firstLine="0" w:left="0" w:right="34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9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（七）可行性研究报告和初步设计、勘察、设计、施工、监理等</w:t>
      </w:r>
    </w:p>
    <w:p>
      <w:pPr>
        <w:spacing w:before="0" w:after="437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工作须由具有相应资质的咨询机构和设计单位编制。</w:t>
      </w:r>
    </w:p>
    <w:p>
      <w:pPr>
        <w:tabs>
          <w:tab w:val="left" w:pos="4231"/>
        </w:tabs>
        <w:spacing w:before="0" w:after="434" w:line="281" w:lineRule="exact"/>
        <w:ind w:firstLine="0" w:left="310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第四章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项目组织实施</w:t>
      </w:r>
    </w:p>
    <w:p>
      <w:pPr>
        <w:tabs>
          <w:tab w:val="left" w:pos="2323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项目实施之前或过程中，涉及采购事项的，项目承办</w:t>
      </w:r>
    </w:p>
    <w:p>
      <w:pPr>
        <w:spacing w:before="0" w:after="28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部门要协同采购归口管理部门，完成采购执行后，履行建设项目合同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审批手续，签订合同。</w:t>
      </w:r>
    </w:p>
    <w:p>
      <w:pPr>
        <w:tabs>
          <w:tab w:val="left" w:pos="2323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项目采购或工程招投标要严格执行《中华人民共和国</w:t>
      </w:r>
    </w:p>
    <w:p>
      <w:pPr>
        <w:spacing w:before="0" w:after="281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政府采购法》、《中华人民共和国招标投标法》、《中华人民共和国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招标投标法实施条例》及单位采购管理制度、流程等相关规定。</w:t>
      </w:r>
    </w:p>
    <w:p>
      <w:pPr>
        <w:tabs>
          <w:tab w:val="left" w:pos="2323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8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项目承办部门在本单位项目实施过程中，要严格按照</w:t>
      </w:r>
    </w:p>
    <w:p>
      <w:pPr>
        <w:spacing w:before="0" w:after="278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时间要求和质量标准推进建设项目建设。对于重大项目或单位重点项</w:t>
      </w:r>
    </w:p>
    <w:p>
      <w:pPr>
        <w:spacing w:before="0" w:after="0" w:line="502" w:lineRule="exact"/>
        <w:ind w:firstLine="0" w:left="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</w:p>
    <w:p>
      <w:pPr>
        <w:spacing w:before="0" w:after="278" w:line="281" w:lineRule="exact"/>
        <w:ind w:firstLine="0" w:left="36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  <w:sectPr>
          <w:pgSz w:w="11906" w:h="16838"/>
          <w:pgMar w:top="1440" w:right="1440" w:bottom="868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4</w:t>
      </w:r>
    </w:p>
    <w:p>
      <w:pPr>
        <w:spacing w:before="0" w:after="130" w:line="180" w:lineRule="exact"/>
        <w:ind w:firstLine="0" w:left="4469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8" w:left="1440" w:header="708" w:footer="708" w:gutter="0"/>
          <w:docGrid w:type="" w:linePitch="0"/>
        </w:sectPr>
      </w:pPr>
    </w:p>
    <w:bookmarkStart w:id="5" w:name="5"/>
    <w:bookmarkEnd w:id="5"/>
    <w:p>
      <w:pPr>
        <w:spacing w:before="0" w:after="0" w:line="208" w:lineRule="exact"/>
        <w:ind w:firstLine="0" w:left="0"/>
        <w:jc w:val="center"/>
        <w:rPr>
          <w:rFonts w:ascii="Microsoft YaHei" w:hAnsi="Microsoft YaHei" w:cs="Microsoft YaHei" w:eastAsia="Microsoft YaHei"/>
          <w:sz w:val="20"/>
          <w:szCs w:val="20"/>
          <w:color w:val="000000"/>
          <w:spacing w:val="-95"/>
          <w:noProof/>
        </w:rPr>
      </w:pPr>
    </w:p>
    <w:p>
      <w:pPr>
        <w:spacing w:before="0" w:after="278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目，项目承办部门应当按期限编制项目进度表、汇总阶段性建设成果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定期向项目决策机构汇报。若遇到重大问题、项目变更等情形时，应</w:t>
      </w:r>
    </w:p>
    <w:p>
      <w:pPr>
        <w:spacing w:before="0" w:after="245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编制说明及时提请本单位项目决策机构进行审议。</w:t>
      </w:r>
    </w:p>
    <w:p>
      <w:pPr>
        <w:tabs>
          <w:tab w:val="left" w:pos="2364"/>
        </w:tabs>
        <w:spacing w:before="0" w:after="343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4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第十七条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本单位建设项目合同中的付款进度应与建设项目计</w:t>
      </w:r>
    </w:p>
    <w:p>
      <w:pPr>
        <w:spacing w:before="0" w:after="343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17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划实施进度相匹配，建设项目预付款原则上不超过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3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9"/>
          <w:noProof/>
        </w:rPr>
        <w:t>30%。建设项目必</w:t>
      </w:r>
    </w:p>
    <w:p>
      <w:pPr>
        <w:spacing w:before="0" w:after="343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6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4"/>
          <w:noProof/>
        </w:rPr>
        <w:t>须按照工程价款总额的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0"/>
          <w:noProof/>
        </w:rPr>
        <w:t> 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3"/>
          <w:noProof/>
        </w:rPr>
        <w:t>3%预留工程质量保证金，待工程交付使用缺</w:t>
      </w:r>
    </w:p>
    <w:p>
      <w:pPr>
        <w:spacing w:before="0" w:after="535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陷责任期满后再清算。</w:t>
      </w:r>
    </w:p>
    <w:p>
      <w:pPr>
        <w:tabs>
          <w:tab w:val="left" w:pos="4231"/>
        </w:tabs>
        <w:spacing w:before="0" w:after="398" w:line="281" w:lineRule="exact"/>
        <w:ind w:firstLine="0" w:left="310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第五章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项目结算管理</w:t>
      </w:r>
    </w:p>
    <w:p>
      <w:pPr>
        <w:tabs>
          <w:tab w:val="left" w:pos="2326"/>
        </w:tabs>
        <w:spacing w:before="0" w:after="343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第十八条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项目承办部门在本单位项目实施过程中，依据实施进</w:t>
      </w:r>
    </w:p>
    <w:p>
      <w:pPr>
        <w:spacing w:before="0" w:after="343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度和合同约定，提前向财务部门发起用款计划、结算申请，确保资金</w:t>
      </w:r>
    </w:p>
    <w:p>
      <w:pPr>
        <w:spacing w:before="0" w:after="343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按时支付，保障项目实施。</w:t>
      </w:r>
    </w:p>
    <w:p>
      <w:pPr>
        <w:tabs>
          <w:tab w:val="left" w:pos="2326"/>
        </w:tabs>
        <w:spacing w:before="0" w:after="343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0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第十九条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5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本单位项目预算资金要专款专用，按规定开支项目资</w:t>
      </w:r>
    </w:p>
    <w:p>
      <w:pPr>
        <w:spacing w:before="0" w:after="535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金。</w:t>
      </w:r>
    </w:p>
    <w:p>
      <w:pPr>
        <w:tabs>
          <w:tab w:val="left" w:pos="4231"/>
        </w:tabs>
        <w:spacing w:before="0" w:after="434" w:line="281" w:lineRule="exact"/>
        <w:ind w:firstLine="0" w:left="310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第六章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项目验收管理</w:t>
      </w:r>
    </w:p>
    <w:p>
      <w:pPr>
        <w:tabs>
          <w:tab w:val="left" w:pos="2364"/>
        </w:tabs>
        <w:spacing w:before="0" w:after="28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42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4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项目完成后，项目承办部门应及时组织项目验收工</w:t>
      </w:r>
    </w:p>
    <w:p>
      <w:pPr>
        <w:spacing w:before="0" w:after="278" w:line="281" w:lineRule="exact"/>
        <w:ind w:firstLine="0" w:left="0" w:right="200"/>
        <w:jc w:val="right"/>
        <w:rPr>
          <w:rFonts w:ascii="Microsoft YaHei" w:hAnsi="Microsoft YaHei" w:cs="Microsoft YaHei" w:eastAsia="Microsoft YaHei"/>
          <w:sz w:val="28"/>
          <w:szCs w:val="28"/>
          <w:color w:val="000000"/>
          <w:spacing w:val="-23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8"/>
          <w:noProof/>
        </w:rPr>
        <w:t>作；特殊项目或重大、重点项目应及时向项目主管部门提出验收申请，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并由项目主管部门组织验收。</w:t>
      </w:r>
    </w:p>
    <w:p>
      <w:pPr>
        <w:tabs>
          <w:tab w:val="left" w:pos="2604"/>
        </w:tabs>
        <w:spacing w:before="0" w:after="28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第二十一条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项目验收工作由项目承办部门组织进行，特殊性、</w:t>
      </w:r>
    </w:p>
    <w:p>
      <w:pPr>
        <w:spacing w:before="0" w:after="278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重大、重点项目应当提请项目决策机构专项组织项目验收工作，也可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noProof/>
        </w:rPr>
        <w:t>以依据实际委托第三方机构组织开展。</w:t>
      </w:r>
    </w:p>
    <w:p>
      <w:pPr>
        <w:tabs>
          <w:tab w:val="left" w:pos="2652"/>
        </w:tabs>
        <w:spacing w:before="0" w:after="28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134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>第二十二条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3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本单位项目组织验收前应完全完成合同约定的各</w:t>
      </w:r>
    </w:p>
    <w:p>
      <w:pPr>
        <w:spacing w:before="0" w:after="28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项内容。</w:t>
      </w:r>
    </w:p>
    <w:p>
      <w:pPr>
        <w:spacing w:before="0" w:after="0" w:line="490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</w:p>
    <w:p>
      <w:pPr>
        <w:spacing w:before="0" w:after="28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6" w:h="16838"/>
          <w:pgMar w:top="1440" w:right="1440" w:bottom="868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5</w:t>
      </w:r>
    </w:p>
    <w:p>
      <w:pPr>
        <w:spacing w:before="0" w:after="130" w:line="180" w:lineRule="exact"/>
        <w:ind w:firstLine="0" w:left="4469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sectPr>
          <w:type w:val="continuous"/>
          <w:pgSz w:w="11906" w:h="16838"/>
          <w:pgMar w:top="1440" w:right="1440" w:bottom="868" w:left="1440" w:header="708" w:footer="708" w:gutter="0"/>
          <w:docGrid w:type="" w:linePitch="0"/>
        </w:sectPr>
      </w:pPr>
    </w:p>
    <w:bookmarkStart w:id="6" w:name="6"/>
    <w:bookmarkEnd w:id="6"/>
    <w:p>
      <w:pPr>
        <w:spacing w:before="0" w:after="0" w:line="208" w:lineRule="exact"/>
        <w:ind w:firstLine="0" w:left="0"/>
        <w:jc w:val="right"/>
        <w:rPr>
          <w:rFonts w:ascii="Microsoft YaHei" w:hAnsi="Microsoft YaHei" w:cs="Microsoft YaHei" w:eastAsia="Microsoft YaHei"/>
          <w:sz w:val="20"/>
          <w:szCs w:val="20"/>
          <w:color w:val="000000"/>
          <w:spacing w:val="-99"/>
          <w:noProof/>
        </w:rPr>
      </w:pPr>
    </w:p>
    <w:p>
      <w:pPr>
        <w:tabs>
          <w:tab w:val="left" w:pos="2604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第二十三条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项目建设完成后形成固定资产的，应及时办理固定</w:t>
      </w:r>
    </w:p>
    <w:p>
      <w:pPr>
        <w:spacing w:before="0" w:after="43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资产交付使用手续。</w:t>
      </w:r>
    </w:p>
    <w:p>
      <w:pPr>
        <w:tabs>
          <w:tab w:val="left" w:pos="4231"/>
        </w:tabs>
        <w:spacing w:before="0" w:after="437" w:line="281" w:lineRule="exact"/>
        <w:ind w:firstLine="0" w:left="3108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第七章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项目档案管理</w:t>
      </w:r>
    </w:p>
    <w:p>
      <w:pPr>
        <w:tabs>
          <w:tab w:val="left" w:pos="2604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第二十四条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本单位项目档案管理工作与项目建设同步进行，项</w:t>
      </w:r>
    </w:p>
    <w:p>
      <w:pPr>
        <w:spacing w:before="0" w:after="278" w:line="281" w:lineRule="exact"/>
        <w:ind w:firstLine="0" w:left="-20"/>
        <w:jc w:val="center"/>
        <w:rPr>
          <w:rFonts w:ascii="Microsoft YaHei" w:hAnsi="Microsoft YaHei" w:cs="Microsoft YaHei" w:eastAsia="Microsoft YaHei"/>
          <w:sz w:val="28"/>
          <w:szCs w:val="28"/>
          <w:color w:val="000000"/>
          <w:spacing w:val="186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6"/>
          <w:noProof/>
        </w:rPr>
        <w:t>目承办部门负责建设项目实施过程中收集整理并妥善保管建设项目</w:t>
      </w:r>
    </w:p>
    <w:p>
      <w:pPr>
        <w:spacing w:before="0" w:after="281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5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4"/>
          <w:noProof/>
        </w:rPr>
        <w:t>资料，确保建设项目档案的完整、准确、系统和安全。按期限向单位</w:t>
      </w:r>
    </w:p>
    <w:p>
      <w:pPr>
        <w:spacing w:before="0" w:after="434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档案管理部门移交，进行统一保管。</w:t>
      </w:r>
    </w:p>
    <w:p>
      <w:pPr>
        <w:tabs>
          <w:tab w:val="left" w:pos="4793"/>
        </w:tabs>
        <w:spacing w:before="0" w:after="434" w:line="281" w:lineRule="exact"/>
        <w:ind w:firstLine="0" w:left="367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第八章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2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noProof/>
        </w:rPr>
        <w:t>附则</w:t>
      </w:r>
    </w:p>
    <w:p>
      <w:pPr>
        <w:tabs>
          <w:tab w:val="left" w:pos="2604"/>
        </w:tabs>
        <w:spacing w:before="0" w:after="281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第二十五条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5"/>
          <w:noProof/>
        </w:rPr>
        <w:t>建设项目涉及国家秘密的，应严格按照国家和有关</w:t>
      </w:r>
    </w:p>
    <w:p>
      <w:pPr>
        <w:spacing w:before="0" w:after="278" w:line="281" w:lineRule="exact"/>
        <w:ind w:firstLine="0" w:left="360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部门的要求，做好保密工作。</w:t>
      </w:r>
    </w:p>
    <w:p>
      <w:pPr>
        <w:tabs>
          <w:tab w:val="left" w:pos="2604"/>
        </w:tabs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</w:pP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1"/>
          <w:noProof/>
        </w:rPr>
        <w:t>第二十六条</w:t>
      </w:r>
      <w:r>
        <w:rPr>
          <w:rFonts w:ascii="Microsoft YaHei" w:hAnsi="Microsoft YaHei" w:cs="Microsoft YaHei" w:eastAsia="Microsoft YaHei"/>
          <w:sz w:val="28"/>
          <w:szCs w:val="28"/>
          <w:color w:val="000000"/>
          <w:b/>
          <w:bCs/>
          <w:spacing w:val="6"/>
          <w:noProof/>
        </w:rPr>
        <w:tab/>
      </w:r>
      <w:r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t>本制度自颁布之日起施行。</w:t>
      </w: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00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0" w:line="329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99"/>
          <w:noProof/>
        </w:rPr>
      </w:pPr>
    </w:p>
    <w:p>
      <w:pPr>
        <w:spacing w:before="0" w:after="278" w:line="281" w:lineRule="exact"/>
        <w:ind w:firstLine="0" w:left="919"/>
        <w:jc w:val="left"/>
        <w:rPr>
          <w:rFonts w:ascii="Microsoft YaHei" w:hAnsi="Microsoft YaHei" w:cs="Microsoft YaHei" w:eastAsia="Microsoft YaHei"/>
          <w:sz w:val="28"/>
          <w:szCs w:val="28"/>
          <w:color w:val="000000"/>
          <w:spacing w:val="-1"/>
          <w:noProof/>
        </w:rPr>
        <w:sectPr>
          <w:pgSz w:w="11906" w:h="16838"/>
          <w:pgMar w:top="1440" w:right="1440" w:bottom="868" w:left="1440" w:header="708" w:footer="708" w:gutter="0"/>
          <w:docGrid w:type="" w:linePitch="0"/>
        </w:sectPr>
      </w:pPr>
    </w:p>
    <w:p>
      <w:pPr>
        <w:spacing w:before="0" w:after="130" w:line="180" w:lineRule="exact"/>
        <w:ind w:firstLine="0" w:left="0"/>
        <w:jc w:val="center"/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</w:pPr>
      <w:r>
        <w:rPr>
          <w:rFonts w:ascii="Microsoft YaHei" w:hAnsi="Microsoft YaHei" w:cs="Microsoft YaHei" w:eastAsia="Microsoft YaHei"/>
          <w:sz w:val="18"/>
          <w:szCs w:val="18"/>
          <w:color w:val="000000"/>
          <w:noProof/>
        </w:rPr>
        <w:t>6</w:t>
      </w:r>
    </w:p>
    <w:sectPr>
      <w:type w:val="continuous"/>
      <w:pgSz w:w="11906" w:h="16838"/>
      <w:pgMar w:top="1440" w:right="1440" w:bottom="868" w:left="1440" w:header="708" w:footer="708" w:gutter="0"/>
      <w:docGrid w:type="" w:linePitch="0"/>
    </w:sectPr>
    <w:docPr>
      <w:view w:val="page"/>
      <w:zoom w:percent="120"/>
    </w:doc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itch w:val="variable"/>
    <w:altName w:val="Times New Roman"/>
    <w:charset w:val="0"/>
    <w:family w:val="roman"/>
  </w:font>
  <w:font w:name="Arial">
    <w:pitch w:val="variable"/>
    <w:altName w:val="Arial"/>
    <w:charset w:val="0"/>
    <w:family w:val="swiss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>
      <w:useFELayout/>
    </w:ulTrailSpace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 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fontTable" Target="fontTable.xml"/>
	<Relationship Id="rId3" Type="http://schemas.openxmlformats.org/officeDocument/2006/relationships/theme" Target="theme/theme1.xml"/>
	<Relationship Id="rId4" Type="http://schemas.openxmlformats.org/officeDocument/2006/relationships/settings" Target="settings.xml"/>
	<Relationship Id="rId5" Type="http://schemas.openxmlformats.org/officeDocument/2006/relationships/webSettings" Target="webSettings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Application>Microsoft Office Word</Application>
  <DocSecurity>0</DocSecurity>
  <ScaleCrop>false</ScaleCrop>
  <Company/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